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gjdgxs"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sz w:val="24"/>
          <w:szCs w:val="24"/>
        </w:rPr>
      </w:pPr>
      <w:r w:rsidDel="00000000" w:rsidR="00000000" w:rsidRPr="00000000">
        <w:rPr>
          <w:rFonts w:ascii="Arial" w:cs="Arial" w:eastAsia="Arial" w:hAnsi="Arial"/>
          <w:sz w:val="24"/>
          <w:szCs w:val="24"/>
          <w:rtl w:val="0"/>
        </w:rPr>
        <w:t xml:space="preserve">shall not be impacted by any change to the Framework Prices.</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985"/>
          <w:tab w:val="left" w:pos="2127"/>
        </w:tabs>
        <w:spacing w:after="120" w:before="120" w:line="240" w:lineRule="auto"/>
        <w:ind w:left="9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w:t>
      </w:r>
      <w:r w:rsidDel="00000000" w:rsidR="00000000" w:rsidRPr="00000000">
        <w:rPr>
          <w:rFonts w:ascii="Arial" w:cs="Arial" w:eastAsia="Arial" w:hAnsi="Arial"/>
          <w:sz w:val="24"/>
          <w:szCs w:val="24"/>
          <w:rtl w:val="0"/>
        </w:rPr>
        <w:t xml:space="preserve">Annex 1 s</w:t>
      </w:r>
      <w:r w:rsidDel="00000000" w:rsidR="00000000" w:rsidRPr="00000000">
        <w:rPr>
          <w:rFonts w:ascii="Arial" w:cs="Arial" w:eastAsia="Arial" w:hAnsi="Arial"/>
          <w:color w:val="000000"/>
          <w:sz w:val="24"/>
          <w:szCs w:val="24"/>
          <w:rtl w:val="0"/>
        </w:rPr>
        <w:t xml:space="preserve">hall be available for use in calculation of Framework Prices in Call Off Contracts.</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709"/>
        </w:tabs>
        <w:spacing w:after="120" w:before="1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will be fixed for the first</w:t>
      </w:r>
      <w:r w:rsidDel="00000000" w:rsidR="00000000" w:rsidRPr="00000000">
        <w:rPr>
          <w:rFonts w:ascii="Arial" w:cs="Arial" w:eastAsia="Arial" w:hAnsi="Arial"/>
          <w:sz w:val="24"/>
          <w:szCs w:val="24"/>
          <w:rtl w:val="0"/>
        </w:rPr>
        <w:t xml:space="preserve"> 2 </w:t>
      </w:r>
      <w:r w:rsidDel="00000000" w:rsidR="00000000" w:rsidRPr="00000000">
        <w:rPr>
          <w:rFonts w:ascii="Arial" w:cs="Arial" w:eastAsia="Arial" w:hAnsi="Arial"/>
          <w:color w:val="000000"/>
          <w:sz w:val="24"/>
          <w:szCs w:val="24"/>
          <w:rtl w:val="0"/>
        </w:rPr>
        <w:t xml:space="preserve">years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2et92p0" w:id="1"/>
      <w:bookmarkEnd w:id="1"/>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4">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sz w:val="24"/>
          <w:szCs w:val="24"/>
        </w:rPr>
      </w:pPr>
      <w:r w:rsidDel="00000000" w:rsidR="00000000" w:rsidRPr="00000000">
        <w:rPr>
          <w:rFonts w:ascii="Arial" w:cs="Arial" w:eastAsia="Arial" w:hAnsi="Arial"/>
          <w:sz w:val="24"/>
          <w:szCs w:val="24"/>
          <w:rtl w:val="0"/>
        </w:rPr>
        <w:t xml:space="preserve">details of the movement in the different identified cost components of the relevant Framework Price;</w:t>
      </w:r>
    </w:p>
    <w:p w:rsidR="00000000" w:rsidDel="00000000" w:rsidP="00000000" w:rsidRDefault="00000000" w:rsidRPr="00000000" w14:paraId="00000015">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sz w:val="24"/>
          <w:szCs w:val="24"/>
        </w:rPr>
      </w:pPr>
      <w:r w:rsidDel="00000000" w:rsidR="00000000" w:rsidRPr="00000000">
        <w:rPr>
          <w:rFonts w:ascii="Arial" w:cs="Arial" w:eastAsia="Arial" w:hAnsi="Arial"/>
          <w:sz w:val="24"/>
          <w:szCs w:val="24"/>
          <w:rtl w:val="0"/>
        </w:rPr>
        <w:t xml:space="preserve">reasons for the movement in the different identified cost components of the relevant Framework Price;</w:t>
      </w:r>
    </w:p>
    <w:p w:rsidR="00000000" w:rsidDel="00000000" w:rsidP="00000000" w:rsidRDefault="00000000" w:rsidRPr="00000000" w14:paraId="00000016">
      <w:pPr>
        <w:numPr>
          <w:ilvl w:val="3"/>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5" w:hanging="815"/>
        <w:rPr/>
      </w:pPr>
      <w:r w:rsidDel="00000000" w:rsidR="00000000" w:rsidRPr="00000000">
        <w:rPr>
          <w:rFonts w:ascii="Arial" w:cs="Arial" w:eastAsia="Arial" w:hAnsi="Arial"/>
          <w:sz w:val="24"/>
          <w:szCs w:val="24"/>
          <w:rtl w:val="0"/>
        </w:rPr>
        <w:t xml:space="preserve">evidence that the Supplier has attempted to mitigate against the increase in the relevant cost components. </w:t>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985"/>
          <w:tab w:val="left" w:pos="2127"/>
        </w:tabs>
        <w:spacing w:after="120" w:before="120" w:line="240" w:lineRule="auto"/>
        <w:ind w:left="3272" w:firstLine="0"/>
        <w:rPr>
          <w:rFonts w:ascii="Arial" w:cs="Arial" w:eastAsia="Arial" w:hAnsi="Arial"/>
          <w:strike w:val="1"/>
          <w:color w:val="000000"/>
          <w:sz w:val="24"/>
          <w:szCs w:val="24"/>
        </w:rPr>
      </w:pP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consider each request for a price increase.  CCS may grant Approval to an increase at its sole discretion.</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709"/>
        </w:tabs>
        <w:spacing w:after="120" w:before="120" w:line="240" w:lineRule="auto"/>
        <w:ind w:left="644"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Prices can also be varied (and Annex 1 will be updated accordingly) due to:</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sz w:val="24"/>
          <w:szCs w:val="24"/>
        </w:rPr>
      </w:pPr>
      <w:r w:rsidDel="00000000" w:rsidR="00000000" w:rsidRPr="00000000">
        <w:rPr>
          <w:rFonts w:ascii="Arial" w:cs="Arial" w:eastAsia="Arial" w:hAnsi="Arial"/>
          <w:sz w:val="24"/>
          <w:szCs w:val="24"/>
          <w:rtl w:val="0"/>
        </w:rPr>
        <w:t xml:space="preserve">a Specific Change in Law in accordance with Clause 24;</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review of improvements in accordance with Joint Schedule 13 (Continuous Improvement) and a benchmarking review in accordance with Joint Schedule14 (Benchmarking);</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372"/>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372"/>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spacing w:after="120" w:before="120" w:line="240" w:lineRule="auto"/>
        <w:ind w:left="0" w:firstLine="0"/>
        <w:rPr/>
      </w:pPr>
      <w:bookmarkStart w:colFirst="0" w:colLast="0" w:name="_heading=h.3dy6vkm" w:id="2"/>
      <w:bookmarkEnd w:id="2"/>
      <w:r w:rsidDel="00000000" w:rsidR="00000000" w:rsidRPr="00000000">
        <w:rPr>
          <w:rFonts w:ascii="Arial" w:cs="Arial" w:eastAsia="Arial" w:hAnsi="Arial"/>
          <w:b w:val="1"/>
          <w:sz w:val="36"/>
          <w:szCs w:val="36"/>
          <w:rtl w:val="0"/>
        </w:rPr>
        <w:t xml:space="preserve">Annex 1: Rates and Prices</w:t>
      </w:r>
      <w:r w:rsidDel="00000000" w:rsidR="00000000" w:rsidRPr="00000000">
        <w:rPr>
          <w:rtl w:val="0"/>
        </w:rPr>
      </w:r>
    </w:p>
    <w:p w:rsidR="00000000" w:rsidDel="00000000" w:rsidP="00000000" w:rsidRDefault="00000000" w:rsidRPr="00000000" w14:paraId="00000024">
      <w:pPr>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Pricing Schedule(s) following Framework Award</w:t>
      </w:r>
      <w:r w:rsidDel="00000000" w:rsidR="00000000" w:rsidRPr="00000000">
        <w:rPr>
          <w:rFonts w:ascii="Arial" w:cs="Arial" w:eastAsia="Arial" w:hAnsi="Arial"/>
          <w:b w:val="1"/>
          <w:sz w:val="24"/>
          <w:szCs w:val="24"/>
          <w:highlight w:val="yellow"/>
          <w:rtl w:val="0"/>
        </w:rPr>
        <w:t xml:space="preserve">]</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28">
      <w:pPr>
        <w:rPr>
          <w:rFonts w:ascii="Arial" w:cs="Arial" w:eastAsia="Arial" w:hAnsi="Arial"/>
          <w:b w:val="1"/>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pgMar w:bottom="1440" w:top="1888"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E">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RM6074</w:t>
      <w:tab/>
      <w:t xml:space="preserve">                                           </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0">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bookmarkStart w:colFirst="0" w:colLast="0" w:name="_heading=h.4d34og8" w:id="3"/>
    <w:bookmarkEnd w:id="3"/>
    <w:r w:rsidDel="00000000" w:rsidR="00000000" w:rsidRPr="00000000">
      <w:rPr>
        <w:color w:val="bfbfbf"/>
        <w:rtl w:val="0"/>
      </w:rPr>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2020</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0"/>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bVCthizn8JZRmPOmf9IVdrisTQ==">AMUW2mX3JF4Z4iQGQkvRcZv0cU4oOTVkZjT2bCcVdV61Qzq3RsT9lX2bLuwRcrOEzDvasZs7UQtmsgFfjDbFjyMvVcqaud1i8bEQTuRN4FhaFC8MfuryEO+aXmbUmoaHPPXtkXf5JRYAilEgKV9OOljh6aOx3YLPhZ6VeSHY5HSSATL+PnBJHow=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2020-07-30T14:55:00Z</dcterms:created>
  <dc:creator>Neil Hall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